
<file path=[Content_Types].xml><?xml version="1.0" encoding="utf-8"?>
<Types xmlns="http://schemas.openxmlformats.org/package/2006/content-types">
  <Default ContentType="image/jpeg" Extension="jpe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Layout w:type="fixed"/>
      </w:tblPr>
      <w:tblGrid>
        <w:gridCol w:w="4046"/>
        <w:gridCol w:w="1489"/>
        <w:gridCol w:w="4036"/>
      </w:tblGrid>
      <w:tr>
        <w:tc>
          <w:tcPr>
            <w:tcW w:type="dxa" w:w="4046"/>
            <w:shd w:fill="auto" w:val="clear"/>
          </w:tcPr>
          <w:p w14:paraId="01000000">
            <w:pPr>
              <w:ind/>
              <w:jc w:val="center"/>
              <w:rPr>
                <w:b w:val="1"/>
              </w:rPr>
            </w:pPr>
          </w:p>
          <w:p w14:paraId="02000000">
            <w:pPr>
              <w:ind/>
              <w:jc w:val="center"/>
              <w:rPr>
                <w:b w:val="1"/>
              </w:rPr>
            </w:pPr>
            <w:r>
              <w:rPr>
                <w:b w:val="1"/>
              </w:rPr>
              <w:t xml:space="preserve">Министерство предпринимательства, </w:t>
            </w:r>
          </w:p>
          <w:p w14:paraId="03000000">
            <w:pPr>
              <w:ind/>
              <w:jc w:val="center"/>
              <w:rPr>
                <w:b w:val="1"/>
              </w:rPr>
            </w:pPr>
            <w:r>
              <w:rPr>
                <w:b w:val="1"/>
              </w:rPr>
              <w:t xml:space="preserve">торговли и туризма </w:t>
            </w:r>
          </w:p>
          <w:p w14:paraId="04000000">
            <w:pPr>
              <w:ind/>
              <w:jc w:val="center"/>
            </w:pPr>
            <w:r>
              <w:rPr>
                <w:b w:val="1"/>
              </w:rPr>
              <w:t>Республики Саха (Якутия)</w:t>
            </w:r>
          </w:p>
        </w:tc>
        <w:tc>
          <w:tcPr>
            <w:tcW w:type="dxa" w:w="1489"/>
            <w:shd w:fill="auto" w:val="clear"/>
          </w:tcPr>
          <w:p w14:paraId="05000000">
            <w:r>
              <w:rPr>
                <w:rFonts w:ascii="Times Sakha" w:hAnsi="Times Sakha"/>
                <w:color w:val="0000FF"/>
              </w:rPr>
              <w:drawing>
                <wp:inline>
                  <wp:extent cx="676275" cy="676275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676275" cy="6762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036"/>
            <w:shd w:fill="auto" w:val="clear"/>
          </w:tcPr>
          <w:p w14:paraId="06000000">
            <w:pPr>
              <w:ind/>
              <w:jc w:val="center"/>
              <w:rPr>
                <w:b w:val="1"/>
              </w:rPr>
            </w:pPr>
          </w:p>
          <w:p w14:paraId="07000000">
            <w:pPr>
              <w:ind/>
              <w:jc w:val="center"/>
              <w:rPr>
                <w:b w:val="1"/>
              </w:rPr>
            </w:pPr>
            <w:r>
              <w:rPr>
                <w:b w:val="1"/>
              </w:rPr>
              <w:t xml:space="preserve">Саха </w:t>
            </w:r>
            <w:r>
              <w:rPr>
                <w:b w:val="1"/>
              </w:rPr>
              <w:t>Өрөспүүбүлүкэтин</w:t>
            </w:r>
            <w:r>
              <w:rPr>
                <w:b w:val="1"/>
              </w:rPr>
              <w:t xml:space="preserve"> </w:t>
            </w:r>
          </w:p>
          <w:p w14:paraId="08000000">
            <w:pPr>
              <w:ind/>
              <w:jc w:val="center"/>
              <w:rPr>
                <w:b w:val="1"/>
              </w:rPr>
            </w:pPr>
            <w:r>
              <w:rPr>
                <w:b w:val="1"/>
              </w:rPr>
              <w:t>Урбааҥҥа</w:t>
            </w:r>
            <w:r>
              <w:rPr>
                <w:b w:val="1"/>
              </w:rPr>
              <w:t xml:space="preserve">, </w:t>
            </w:r>
            <w:r>
              <w:rPr>
                <w:b w:val="1"/>
              </w:rPr>
              <w:t>эргиэҥҥэ</w:t>
            </w:r>
            <w:r>
              <w:rPr>
                <w:b w:val="1"/>
              </w:rPr>
              <w:t xml:space="preserve"> </w:t>
            </w:r>
            <w:r>
              <w:rPr>
                <w:b w:val="1"/>
              </w:rPr>
              <w:t>уонна</w:t>
            </w:r>
            <w:r>
              <w:rPr>
                <w:b w:val="1"/>
              </w:rPr>
              <w:t xml:space="preserve"> </w:t>
            </w:r>
            <w:r>
              <w:rPr>
                <w:b w:val="1"/>
              </w:rPr>
              <w:t>туризмҥа</w:t>
            </w:r>
            <w:r>
              <w:rPr>
                <w:b w:val="1"/>
              </w:rPr>
              <w:t xml:space="preserve"> </w:t>
            </w:r>
            <w:r>
              <w:rPr>
                <w:b w:val="1"/>
              </w:rPr>
              <w:t>министиэристибэтэ</w:t>
            </w:r>
            <w:r>
              <w:rPr>
                <w:b w:val="1"/>
              </w:rPr>
              <w:t xml:space="preserve"> </w:t>
            </w:r>
          </w:p>
          <w:p w14:paraId="09000000">
            <w:pPr>
              <w:ind/>
              <w:jc w:val="center"/>
              <w:rPr>
                <w:b w:val="1"/>
              </w:rPr>
            </w:pPr>
          </w:p>
          <w:p w14:paraId="0A000000"/>
        </w:tc>
      </w:tr>
      <w:tr>
        <w:tc>
          <w:tcPr>
            <w:tcW w:type="dxa" w:w="9571"/>
            <w:gridSpan w:val="3"/>
            <w:shd w:fill="auto" w:val="clear"/>
          </w:tcPr>
          <w:p w14:paraId="0B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677000, </w:t>
            </w:r>
            <w:r>
              <w:rPr>
                <w:sz w:val="20"/>
              </w:rPr>
              <w:t>пр.Ленина</w:t>
            </w:r>
            <w:r>
              <w:rPr>
                <w:sz w:val="20"/>
              </w:rPr>
              <w:t>, 22, Якутск, Республика Саха (Якутия)</w:t>
            </w:r>
          </w:p>
          <w:p w14:paraId="0C000000">
            <w:pPr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тел</w:t>
            </w:r>
            <w:r>
              <w:rPr>
                <w:sz w:val="20"/>
              </w:rPr>
              <w:t xml:space="preserve">.: (4112) 506-224, e-mail: </w:t>
            </w:r>
            <w:r>
              <w:rPr>
                <w:rStyle w:val="Style_2_ch"/>
                <w:sz w:val="20"/>
              </w:rPr>
              <w:fldChar w:fldCharType="begin"/>
            </w:r>
            <w:r>
              <w:rPr>
                <w:rStyle w:val="Style_2_ch"/>
                <w:sz w:val="20"/>
              </w:rPr>
              <w:instrText>HYPERLINK "mailto:minpred@sakha.gov.ru"</w:instrText>
            </w:r>
            <w:r>
              <w:rPr>
                <w:rStyle w:val="Style_2_ch"/>
                <w:sz w:val="20"/>
              </w:rPr>
              <w:fldChar w:fldCharType="separate"/>
            </w:r>
            <w:r>
              <w:rPr>
                <w:rStyle w:val="Style_2_ch"/>
                <w:sz w:val="20"/>
              </w:rPr>
              <w:t>minpred@sakha.gov.ru</w:t>
            </w:r>
            <w:r>
              <w:rPr>
                <w:rStyle w:val="Style_2_ch"/>
                <w:sz w:val="20"/>
              </w:rPr>
              <w:fldChar w:fldCharType="end"/>
            </w:r>
            <w:r>
              <w:rPr>
                <w:sz w:val="20"/>
              </w:rPr>
              <w:t xml:space="preserve">; https:// </w:t>
            </w:r>
            <w:r>
              <w:rPr>
                <w:rStyle w:val="Style_2_ch"/>
                <w:sz w:val="20"/>
              </w:rPr>
              <w:fldChar w:fldCharType="begin"/>
            </w:r>
            <w:r>
              <w:rPr>
                <w:rStyle w:val="Style_2_ch"/>
                <w:sz w:val="20"/>
              </w:rPr>
              <w:instrText>HYPERLINK "mailto:mininvest@sakha.gov.ru"</w:instrText>
            </w:r>
            <w:r>
              <w:rPr>
                <w:rStyle w:val="Style_2_ch"/>
                <w:sz w:val="20"/>
              </w:rPr>
              <w:fldChar w:fldCharType="separate"/>
            </w:r>
            <w:r>
              <w:rPr>
                <w:rStyle w:val="Style_2_ch"/>
                <w:sz w:val="20"/>
              </w:rPr>
              <w:t>minpred.sakha.gov.ru</w:t>
            </w:r>
            <w:r>
              <w:rPr>
                <w:rStyle w:val="Style_2_ch"/>
                <w:sz w:val="20"/>
              </w:rPr>
              <w:fldChar w:fldCharType="end"/>
            </w:r>
            <w:r>
              <w:rPr>
                <w:sz w:val="20"/>
              </w:rPr>
              <w:t xml:space="preserve">/  </w:t>
            </w:r>
          </w:p>
          <w:p w14:paraId="0D000000">
            <w:pPr>
              <w:ind/>
              <w:jc w:val="center"/>
            </w:pPr>
          </w:p>
        </w:tc>
      </w:tr>
      <w:tr>
        <w:tc>
          <w:tcPr>
            <w:tcW w:type="dxa" w:w="9571"/>
            <w:gridSpan w:val="3"/>
            <w:shd w:fill="auto" w:val="clear"/>
          </w:tcPr>
          <w:p w14:paraId="0E000000">
            <w:pPr>
              <w:rPr>
                <w:sz w:val="20"/>
              </w:rPr>
            </w:pPr>
            <w:bookmarkStart w:id="1" w:name="regnumdatestamp"/>
            <w:r>
              <w:rPr>
                <w:sz w:val="20"/>
              </w:rPr>
              <w:t>Дата и номер</w:t>
            </w:r>
            <w:bookmarkEnd w:id="1"/>
          </w:p>
          <w:p w14:paraId="0F000000">
            <w:pPr>
              <w:ind/>
              <w:jc w:val="center"/>
              <w:rPr>
                <w:b w:val="1"/>
              </w:rPr>
            </w:pPr>
          </w:p>
        </w:tc>
      </w:tr>
    </w:tbl>
    <w:p w14:paraId="10000000">
      <w:pPr>
        <w:spacing w:line="23" w:lineRule="atLeast"/>
        <w:ind w:firstLine="0" w:left="5664"/>
        <w:jc w:val="center"/>
        <w:rPr>
          <w:sz w:val="28"/>
        </w:rPr>
      </w:pPr>
      <w:r>
        <w:rPr>
          <w:sz w:val="28"/>
        </w:rPr>
        <w:t>Министерству жилищно-коммунального хозяйства и энергетики</w:t>
      </w:r>
      <w:r>
        <w:rPr>
          <w:sz w:val="28"/>
        </w:rPr>
        <w:t xml:space="preserve"> </w:t>
      </w:r>
    </w:p>
    <w:p w14:paraId="11000000">
      <w:pPr>
        <w:spacing w:line="23" w:lineRule="atLeast"/>
        <w:ind w:firstLine="0" w:left="5664"/>
        <w:jc w:val="center"/>
        <w:rPr>
          <w:sz w:val="28"/>
        </w:rPr>
      </w:pPr>
      <w:r>
        <w:rPr>
          <w:sz w:val="28"/>
        </w:rPr>
        <w:t xml:space="preserve">Республики Саха (Якутия) </w:t>
      </w:r>
    </w:p>
    <w:p w14:paraId="12000000">
      <w:pPr>
        <w:spacing w:line="23" w:lineRule="atLeast"/>
        <w:ind w:firstLine="0" w:left="6372"/>
        <w:rPr>
          <w:rFonts w:ascii="PT Astra Serif" w:hAnsi="PT Astra Serif"/>
          <w:sz w:val="28"/>
        </w:rPr>
      </w:pPr>
    </w:p>
    <w:p w14:paraId="13000000">
      <w:pPr>
        <w:spacing w:line="276" w:lineRule="auto"/>
        <w:ind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Заключение</w:t>
      </w:r>
    </w:p>
    <w:p w14:paraId="14000000">
      <w:pPr>
        <w:spacing w:line="276" w:lineRule="auto"/>
        <w:ind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по итогам оценки регулирующего воздействия</w:t>
      </w:r>
    </w:p>
    <w:p w14:paraId="15000000">
      <w:pPr>
        <w:spacing w:line="276" w:lineRule="auto"/>
        <w:ind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проекта приказа Министерства жилищно-коммунального хозяйства и энергетики Республики Саха (Якутия) «Об утверждении Территориальной схемы обращения с отходами Республики Саха (Якутия)»</w:t>
      </w:r>
    </w:p>
    <w:p w14:paraId="16000000">
      <w:pPr>
        <w:spacing w:line="276" w:lineRule="auto"/>
        <w:ind/>
        <w:jc w:val="center"/>
        <w:rPr>
          <w:rFonts w:ascii="PT Astra Serif" w:hAnsi="PT Astra Serif"/>
          <w:sz w:val="28"/>
        </w:rPr>
      </w:pPr>
      <w:bookmarkStart w:id="2" w:name="_GoBack"/>
      <w:bookmarkEnd w:id="2"/>
    </w:p>
    <w:p w14:paraId="17000000">
      <w:pPr>
        <w:spacing w:line="276" w:lineRule="auto"/>
        <w:ind w:firstLine="709" w:left="0"/>
        <w:jc w:val="both"/>
        <w:rPr>
          <w:rFonts w:ascii="PT Astra Serif" w:hAnsi="PT Astra Serif"/>
          <w:sz w:val="30"/>
        </w:rPr>
      </w:pPr>
      <w:r>
        <w:rPr>
          <w:sz w:val="28"/>
        </w:rPr>
        <w:t xml:space="preserve">В соответствии с Положением об оценке регулирующего воздействия проектов нормативных правовых актов Республики Саха (Якутия), мониторинге фактического воздействия нормативных правовых актов Республики Саха (Якутия) и экспертизе нормативных правовых актов Республики Саха (Якутия) утвержденный Указом Главы Республики Саха (Якутия) от 19 июня 2023г. № 2911 (далее – Положение), рассмотрев </w:t>
      </w:r>
      <w:r>
        <w:rPr>
          <w:sz w:val="28"/>
        </w:rPr>
        <w:t xml:space="preserve">проект </w:t>
      </w:r>
      <w:r>
        <w:rPr>
          <w:rFonts w:ascii="PT Astra Serif" w:hAnsi="PT Astra Serif"/>
          <w:sz w:val="28"/>
        </w:rPr>
        <w:t>приказа Министерства жилищно-коммунального хозяйства и энергетики Республики Саха (Якутия) «Об утверждении Территориальной схемы обращения с отходами Республики Саха (Якутия)»</w:t>
      </w:r>
      <w:r>
        <w:rPr>
          <w:rFonts w:ascii="PT Astra Serif" w:hAnsi="PT Astra Serif"/>
          <w:sz w:val="30"/>
        </w:rPr>
        <w:t xml:space="preserve"> </w:t>
      </w:r>
      <w:r>
        <w:rPr>
          <w:sz w:val="28"/>
        </w:rPr>
        <w:t>(далее – проект) и Сводный отчет по итогам оценки регулирующего воздействия проекта, сообщаем следующее:</w:t>
      </w:r>
    </w:p>
    <w:p w14:paraId="18000000">
      <w:p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>Регулирующим органом определена в соответствии с пунктом 1.7 Сводного отчета низкая степень регулирующего воздействия проекта.</w:t>
      </w:r>
    </w:p>
    <w:p w14:paraId="19000000">
      <w:p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>Уполномоченный орган считает достаточным обоснование данного проекта.</w:t>
      </w:r>
    </w:p>
    <w:p w14:paraId="1A000000">
      <w:p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Проект был опубликован по данному адресу в сети «Интернет» по адресу: </w:t>
      </w:r>
      <w:r>
        <w:rPr>
          <w:rStyle w:val="Style_3_ch"/>
          <w:sz w:val="28"/>
        </w:rPr>
        <w:fldChar w:fldCharType="begin"/>
      </w:r>
      <w:r>
        <w:rPr>
          <w:rStyle w:val="Style_3_ch"/>
          <w:sz w:val="28"/>
        </w:rPr>
        <w:instrText>HYPERLINK "https://мойбизнес14.рф/orv/"</w:instrText>
      </w:r>
      <w:r>
        <w:rPr>
          <w:rStyle w:val="Style_3_ch"/>
          <w:sz w:val="28"/>
        </w:rPr>
        <w:fldChar w:fldCharType="separate"/>
      </w:r>
      <w:r>
        <w:rPr>
          <w:rStyle w:val="Style_3_ch"/>
          <w:sz w:val="28"/>
        </w:rPr>
        <w:t>https://мойбизнес14.рф/orv/</w:t>
      </w:r>
      <w:r>
        <w:rPr>
          <w:rStyle w:val="Style_3_ch"/>
          <w:sz w:val="28"/>
        </w:rPr>
        <w:fldChar w:fldCharType="end"/>
      </w:r>
      <w:r>
        <w:rPr>
          <w:sz w:val="28"/>
        </w:rPr>
        <w:t>.</w:t>
      </w:r>
    </w:p>
    <w:p w14:paraId="1B000000">
      <w:p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>Срок, в течении которого принимались предложения в связи с публичными консультациями по проекту нормативного правового акта и сводному отчету об оценке регулирующего воздействия: начало: «16» августа 2024 г., окончание: «22» августа 2024 г.</w:t>
      </w:r>
    </w:p>
    <w:p w14:paraId="1C000000">
      <w:pPr>
        <w:spacing w:line="276" w:lineRule="auto"/>
        <w:ind w:firstLine="709" w:left="0"/>
        <w:jc w:val="both"/>
        <w:rPr>
          <w:sz w:val="28"/>
        </w:rPr>
      </w:pPr>
      <w:r>
        <w:rPr>
          <w:sz w:val="28"/>
        </w:rPr>
        <w:t>По информации регулирующего органа предложений не поступало.</w:t>
      </w:r>
    </w:p>
    <w:p w14:paraId="1D000000">
      <w:pPr>
        <w:spacing w:line="276" w:lineRule="auto"/>
        <w:ind w:firstLine="708"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На основании изложенного, сделан вывод о том, что регулирующим органом при подготовке проекта, соблюден порядок проведения оценки регулирующего воздействия.</w:t>
      </w:r>
    </w:p>
    <w:p w14:paraId="1E000000">
      <w:pPr>
        <w:spacing w:line="276" w:lineRule="auto"/>
        <w:ind w:firstLine="708" w:left="0"/>
        <w:jc w:val="both"/>
        <w:rPr>
          <w:sz w:val="28"/>
        </w:rPr>
      </w:pPr>
    </w:p>
    <w:p w14:paraId="1F000000">
      <w:pPr>
        <w:spacing w:line="23" w:lineRule="atLeast"/>
        <w:ind w:firstLine="708" w:left="0"/>
        <w:jc w:val="both"/>
        <w:rPr>
          <w:sz w:val="28"/>
        </w:rPr>
      </w:pPr>
    </w:p>
    <w:tbl>
      <w:tblPr>
        <w:tblStyle w:val="Style_4"/>
        <w:tblW w:type="auto" w:w="0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2068"/>
        <w:gridCol w:w="5648"/>
        <w:gridCol w:w="2205"/>
      </w:tblGrid>
      <w:tr>
        <w:trPr>
          <w:trHeight w:hRule="atLeast" w:val="700"/>
        </w:trPr>
        <w:tc>
          <w:tcPr>
            <w:tcW w:type="dxa" w:w="2068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0000000">
            <w:pPr>
              <w:spacing w:after="160" w:line="264" w:lineRule="auto"/>
              <w:ind/>
              <w:rPr>
                <w:sz w:val="28"/>
              </w:rPr>
            </w:pPr>
            <w:bookmarkStart w:id="3" w:name="SIGNERPOST1"/>
            <w:r>
              <w:rPr>
                <w:sz w:val="28"/>
              </w:rPr>
              <w:t>Должность</w:t>
            </w:r>
            <w:bookmarkEnd w:id="3"/>
          </w:p>
        </w:tc>
        <w:tc>
          <w:tcPr>
            <w:tcW w:type="dxa" w:w="5648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1000000">
            <w:pPr>
              <w:tabs>
                <w:tab w:leader="none" w:pos="5595" w:val="right"/>
              </w:tabs>
              <w:spacing w:after="160" w:line="264" w:lineRule="auto"/>
              <w:ind/>
              <w:rPr>
                <w:sz w:val="28"/>
              </w:rPr>
            </w:pPr>
            <w:bookmarkStart w:id="4" w:name="SIGNERSTAMP1"/>
            <w:r>
              <w:rPr>
                <w:sz w:val="28"/>
              </w:rPr>
              <w:t>[ШТАМП]</w:t>
            </w:r>
            <w:bookmarkEnd w:id="4"/>
            <w:r>
              <w:rPr>
                <w:sz w:val="28"/>
              </w:rPr>
              <w:tab/>
            </w:r>
          </w:p>
        </w:tc>
        <w:tc>
          <w:tcPr>
            <w:tcW w:type="dxa" w:w="220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22000000">
            <w:pPr>
              <w:spacing w:after="160" w:line="264" w:lineRule="auto"/>
              <w:ind/>
              <w:jc w:val="center"/>
              <w:rPr>
                <w:sz w:val="28"/>
              </w:rPr>
            </w:pPr>
            <w:bookmarkStart w:id="5" w:name="SIGNERNAME1"/>
            <w:r>
              <w:rPr>
                <w:sz w:val="28"/>
              </w:rPr>
              <w:t>ФИО</w:t>
            </w:r>
            <w:bookmarkEnd w:id="5"/>
          </w:p>
        </w:tc>
      </w:tr>
    </w:tbl>
    <w:p w14:paraId="23000000"/>
    <w:p w14:paraId="24000000"/>
    <w:p w14:paraId="25000000"/>
    <w:p w14:paraId="26000000"/>
    <w:p w14:paraId="27000000">
      <w:pPr>
        <w:pStyle w:val="Style_5"/>
      </w:pPr>
    </w:p>
    <w:p w14:paraId="28000000"/>
    <w:sectPr>
      <w:pgSz w:h="16838" w:orient="portrait" w:w="11906"/>
      <w:pgMar w:bottom="1134" w:footer="709" w:gutter="0" w:header="709" w:left="1418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6_ch" w:type="character">
    <w:name w:val="Normal"/>
    <w:link w:val="Style_6"/>
    <w:rPr>
      <w:rFonts w:ascii="Times New Roman" w:hAnsi="Times New Roman"/>
      <w:sz w:val="24"/>
    </w:rPr>
  </w:style>
  <w:style w:styleId="Style_7" w:type="paragraph">
    <w:name w:val="toc 2"/>
    <w:next w:val="Style_6"/>
    <w:link w:val="Style_7_ch"/>
    <w:uiPriority w:val="39"/>
    <w:pPr>
      <w:ind w:firstLine="0" w:left="200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Balloon Text"/>
    <w:basedOn w:val="Style_6"/>
    <w:link w:val="Style_9_ch"/>
    <w:rPr>
      <w:rFonts w:ascii="Tahoma" w:hAnsi="Tahoma"/>
      <w:sz w:val="16"/>
    </w:rPr>
  </w:style>
  <w:style w:styleId="Style_9_ch" w:type="character">
    <w:name w:val="Balloon Text"/>
    <w:basedOn w:val="Style_6_ch"/>
    <w:link w:val="Style_9"/>
    <w:rPr>
      <w:rFonts w:ascii="Tahoma" w:hAnsi="Tahoma"/>
      <w:sz w:val="16"/>
    </w:rPr>
  </w:style>
  <w:style w:styleId="Style_10" w:type="paragraph">
    <w:name w:val="toc 6"/>
    <w:next w:val="Style_6"/>
    <w:link w:val="Style_10_ch"/>
    <w:uiPriority w:val="39"/>
    <w:pPr>
      <w:ind w:firstLine="0" w:left="1000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6"/>
    <w:link w:val="Style_11_ch"/>
    <w:uiPriority w:val="39"/>
    <w:pPr>
      <w:ind w:firstLine="0" w:left="1200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next w:val="Style_6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2" w:type="paragraph">
    <w:name w:val="Гиперссылка1"/>
    <w:link w:val="Style_2_ch"/>
    <w:rPr>
      <w:color w:val="0000FF"/>
      <w:u w:val="single"/>
    </w:rPr>
  </w:style>
  <w:style w:styleId="Style_2_ch" w:type="character">
    <w:name w:val="Гиперссылка1"/>
    <w:link w:val="Style_2"/>
    <w:rPr>
      <w:color w:val="0000FF"/>
      <w:u w:val="single"/>
    </w:rPr>
  </w:style>
  <w:style w:styleId="Style_5" w:type="paragraph">
    <w:name w:val="footer"/>
    <w:basedOn w:val="Style_6"/>
    <w:link w:val="Style_5_ch"/>
    <w:pPr>
      <w:tabs>
        <w:tab w:leader="none" w:pos="4677" w:val="center"/>
        <w:tab w:leader="none" w:pos="9355" w:val="right"/>
      </w:tabs>
      <w:ind/>
    </w:pPr>
  </w:style>
  <w:style w:styleId="Style_5_ch" w:type="character">
    <w:name w:val="footer"/>
    <w:basedOn w:val="Style_6_ch"/>
    <w:link w:val="Style_5"/>
  </w:style>
  <w:style w:styleId="Style_14" w:type="paragraph">
    <w:name w:val="toc 3"/>
    <w:next w:val="Style_6"/>
    <w:link w:val="Style_14_ch"/>
    <w:uiPriority w:val="39"/>
    <w:pPr>
      <w:ind w:firstLine="0"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6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5_ch" w:type="character">
    <w:name w:val="heading 5"/>
    <w:link w:val="Style_15"/>
    <w:rPr>
      <w:rFonts w:ascii="XO Thames" w:hAnsi="XO Thames"/>
      <w:b w:val="1"/>
    </w:rPr>
  </w:style>
  <w:style w:styleId="Style_16" w:type="paragraph">
    <w:name w:val="heading 1"/>
    <w:next w:val="Style_6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3" w:type="paragraph">
    <w:name w:val="Hyperlink"/>
    <w:link w:val="Style_3_ch"/>
    <w:rPr>
      <w:color w:val="0000FF"/>
      <w:u w:val="single"/>
    </w:rPr>
  </w:style>
  <w:style w:styleId="Style_3_ch" w:type="character">
    <w:name w:val="Hyperlink"/>
    <w:link w:val="Style_3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</w:rPr>
  </w:style>
  <w:style w:styleId="Style_17_ch" w:type="character">
    <w:name w:val="Footnote"/>
    <w:link w:val="Style_17"/>
    <w:rPr>
      <w:rFonts w:ascii="XO Thames" w:hAnsi="XO Thames"/>
    </w:rPr>
  </w:style>
  <w:style w:styleId="Style_18" w:type="paragraph">
    <w:name w:val="toc 1"/>
    <w:next w:val="Style_6"/>
    <w:link w:val="Style_18_ch"/>
    <w:uiPriority w:val="39"/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6"/>
    <w:link w:val="Style_20_ch"/>
    <w:uiPriority w:val="39"/>
    <w:pPr>
      <w:ind w:firstLine="0" w:left="1600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oc 8"/>
    <w:next w:val="Style_6"/>
    <w:link w:val="Style_22_ch"/>
    <w:uiPriority w:val="39"/>
    <w:pPr>
      <w:ind w:firstLine="0" w:left="1400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header"/>
    <w:basedOn w:val="Style_6"/>
    <w:link w:val="Style_23_ch"/>
    <w:pPr>
      <w:tabs>
        <w:tab w:leader="none" w:pos="4677" w:val="center"/>
        <w:tab w:leader="none" w:pos="9355" w:val="right"/>
      </w:tabs>
      <w:ind/>
    </w:pPr>
  </w:style>
  <w:style w:styleId="Style_23_ch" w:type="character">
    <w:name w:val="header"/>
    <w:basedOn w:val="Style_6_ch"/>
    <w:link w:val="Style_23"/>
  </w:style>
  <w:style w:styleId="Style_24" w:type="paragraph">
    <w:name w:val="caption"/>
    <w:basedOn w:val="Style_6"/>
    <w:next w:val="Style_6"/>
    <w:link w:val="Style_24_ch"/>
    <w:pPr>
      <w:spacing w:after="200"/>
      <w:ind/>
    </w:pPr>
    <w:rPr>
      <w:rFonts w:ascii="Calibri" w:hAnsi="Calibri"/>
      <w:i w:val="1"/>
      <w:color w:val="1F497D"/>
      <w:sz w:val="18"/>
    </w:rPr>
  </w:style>
  <w:style w:styleId="Style_24_ch" w:type="character">
    <w:name w:val="caption"/>
    <w:basedOn w:val="Style_6_ch"/>
    <w:link w:val="Style_24"/>
    <w:rPr>
      <w:rFonts w:ascii="Calibri" w:hAnsi="Calibri"/>
      <w:i w:val="1"/>
      <w:color w:val="1F497D"/>
      <w:sz w:val="18"/>
    </w:rPr>
  </w:style>
  <w:style w:styleId="Style_25" w:type="paragraph">
    <w:name w:val="toc 5"/>
    <w:next w:val="Style_6"/>
    <w:link w:val="Style_25_ch"/>
    <w:uiPriority w:val="39"/>
    <w:pPr>
      <w:ind w:firstLine="0" w:left="800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Основной шрифт абзаца1"/>
    <w:link w:val="Style_26_ch"/>
  </w:style>
  <w:style w:styleId="Style_26_ch" w:type="character">
    <w:name w:val="Основной шрифт абзаца1"/>
    <w:link w:val="Style_26"/>
  </w:style>
  <w:style w:styleId="Style_27" w:type="paragraph">
    <w:name w:val="Subtitle"/>
    <w:next w:val="Style_6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6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6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6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paragraph">
    <w:name w:val="Обычный1"/>
    <w:link w:val="Style_31_ch"/>
    <w:rPr>
      <w:rFonts w:ascii="Times New Roman" w:hAnsi="Times New Roman"/>
      <w:sz w:val="24"/>
    </w:rPr>
  </w:style>
  <w:style w:styleId="Style_31_ch" w:type="character">
    <w:name w:val="Обычный1"/>
    <w:link w:val="Style_31"/>
    <w:rPr>
      <w:rFonts w:ascii="Times New Roman" w:hAnsi="Times New Roman"/>
      <w:sz w:val="24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" w:type="table">
    <w:name w:val="Table Grid"/>
    <w:basedOn w:val="Style_1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media/1.jpeg" Type="http://schemas.openxmlformats.org/officeDocument/2006/relationships/image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MyOffice-CoreFramework-Linux/33-1224.848.9400.852.1@a485da99dcc738e8c7d147737040082c6b3f9fe8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2024-08-29T03:24:26Z</dcterms:modified>
</cp:coreProperties>
</file>